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60E0" w14:textId="77777777" w:rsidR="00C35508" w:rsidRDefault="00346A69" w:rsidP="00C35508">
      <w:pPr>
        <w:spacing w:after="200" w:line="276" w:lineRule="auto"/>
        <w:jc w:val="center"/>
        <w:rPr>
          <w:b/>
          <w:color w:val="472E91"/>
          <w:spacing w:val="5"/>
          <w:kern w:val="28"/>
          <w:sz w:val="52"/>
        </w:rPr>
      </w:pPr>
      <w:bookmarkStart w:id="0" w:name="_Toc480278894"/>
      <w:r>
        <w:rPr>
          <w:rFonts w:ascii="Proxima Nova Regular" w:hAnsi="Proxima Nova Regular" w:cstheme="minorHAnsi"/>
          <w:b/>
          <w:noProof/>
          <w:sz w:val="21"/>
          <w:szCs w:val="21"/>
          <w:lang w:eastAsia="en-GB"/>
        </w:rPr>
        <w:drawing>
          <wp:anchor distT="0" distB="0" distL="114300" distR="114300" simplePos="0" relativeHeight="251695104" behindDoc="0" locked="0" layoutInCell="1" allowOverlap="1" wp14:anchorId="3230955C" wp14:editId="0CDEA804">
            <wp:simplePos x="0" y="0"/>
            <wp:positionH relativeFrom="margin">
              <wp:posOffset>4666256</wp:posOffset>
            </wp:positionH>
            <wp:positionV relativeFrom="paragraph">
              <wp:posOffset>-135854</wp:posOffset>
            </wp:positionV>
            <wp:extent cx="1983740"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466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510527786"/>
      <w:bookmarkEnd w:id="0"/>
    </w:p>
    <w:p w14:paraId="4B615D59" w14:textId="18983C3F" w:rsidR="00B3493F" w:rsidRPr="00804282" w:rsidRDefault="004F23F4" w:rsidP="00804282">
      <w:pPr>
        <w:spacing w:after="200" w:line="276" w:lineRule="auto"/>
        <w:jc w:val="center"/>
        <w:rPr>
          <w:b/>
          <w:color w:val="00B2A9"/>
          <w:spacing w:val="5"/>
          <w:kern w:val="28"/>
          <w:sz w:val="200"/>
        </w:rPr>
      </w:pPr>
      <w:r>
        <w:rPr>
          <w:b/>
          <w:color w:val="00B2A9"/>
          <w:sz w:val="48"/>
          <w:lang w:eastAsia="en-GB"/>
        </w:rPr>
        <w:t>International Student</w:t>
      </w:r>
      <w:r w:rsidR="00DD35DF" w:rsidRPr="00B3493F">
        <w:rPr>
          <w:b/>
          <w:color w:val="00B2A9"/>
          <w:sz w:val="48"/>
          <w:lang w:eastAsia="en-GB"/>
        </w:rPr>
        <w:t xml:space="preserve"> Travel Insurance</w:t>
      </w:r>
      <w:r w:rsidR="006006A4" w:rsidRPr="00B3493F">
        <w:rPr>
          <w:b/>
          <w:color w:val="00B2A9"/>
          <w:sz w:val="48"/>
          <w:lang w:eastAsia="en-GB"/>
        </w:rPr>
        <w:t xml:space="preserve"> </w:t>
      </w:r>
      <w:bookmarkEnd w:id="1"/>
    </w:p>
    <w:p w14:paraId="7146EF6D" w14:textId="77777777" w:rsidR="00DD35DF" w:rsidRPr="00406927" w:rsidRDefault="00DD35DF" w:rsidP="00DD35DF">
      <w:pPr>
        <w:rPr>
          <w:sz w:val="10"/>
        </w:rPr>
      </w:pPr>
    </w:p>
    <w:p w14:paraId="495C2F78" w14:textId="694A0CA5" w:rsidR="004F23F4" w:rsidRPr="000F7279" w:rsidRDefault="004F23F4" w:rsidP="005127F8">
      <w:pPr>
        <w:jc w:val="both"/>
        <w:rPr>
          <w:color w:val="000000" w:themeColor="text1"/>
        </w:rPr>
      </w:pPr>
      <w:r w:rsidRPr="000F7279">
        <w:rPr>
          <w:color w:val="000000" w:themeColor="text1"/>
        </w:rPr>
        <w:t>This international student travel insurance policy is designed to cater for the insurance needs of persons studying in the UK on a trip arranged by</w:t>
      </w:r>
      <w:r w:rsidR="000F7279" w:rsidRPr="000F7279">
        <w:rPr>
          <w:color w:val="000000" w:themeColor="text1"/>
        </w:rPr>
        <w:t xml:space="preserve"> </w:t>
      </w:r>
      <w:r w:rsidR="00D431C0">
        <w:rPr>
          <w:color w:val="000000" w:themeColor="text1"/>
        </w:rPr>
        <w:t>Brownlee Schools</w:t>
      </w:r>
      <w:r w:rsidR="00C27F2C">
        <w:rPr>
          <w:color w:val="000000" w:themeColor="text1"/>
        </w:rPr>
        <w:t xml:space="preserve"> (BLISS)</w:t>
      </w:r>
      <w:r w:rsidRPr="000F7279">
        <w:rPr>
          <w:color w:val="000000" w:themeColor="text1"/>
        </w:rPr>
        <w:t>. The product provides cover including emergency medical assistance and medical costs, protection in the event of cancellation or curtailment, cover for loss, theft of or damage to baggage and personal money.</w:t>
      </w:r>
    </w:p>
    <w:p w14:paraId="7095E6A2" w14:textId="77777777" w:rsidR="004F23F4" w:rsidRPr="000F7279" w:rsidRDefault="004F23F4" w:rsidP="004F23F4">
      <w:pPr>
        <w:rPr>
          <w:color w:val="000000" w:themeColor="text1"/>
          <w:sz w:val="14"/>
        </w:rPr>
      </w:pPr>
    </w:p>
    <w:p w14:paraId="41BDBF1A" w14:textId="77777777" w:rsidR="004F23F4" w:rsidRPr="000F7279" w:rsidRDefault="004F23F4" w:rsidP="004F23F4">
      <w:pPr>
        <w:rPr>
          <w:color w:val="000000" w:themeColor="text1"/>
        </w:rPr>
      </w:pPr>
      <w:r w:rsidRPr="00DD35DF">
        <w:rPr>
          <w:rFonts w:eastAsia="Times New Roman"/>
          <w:b/>
          <w:spacing w:val="5"/>
          <w:kern w:val="28"/>
          <w:lang w:eastAsia="en-GB"/>
        </w:rPr>
        <w:t xml:space="preserve">Key </w:t>
      </w:r>
      <w:r w:rsidRPr="000F7279">
        <w:rPr>
          <w:rFonts w:eastAsia="Times New Roman"/>
          <w:b/>
          <w:color w:val="000000" w:themeColor="text1"/>
          <w:spacing w:val="5"/>
          <w:kern w:val="28"/>
          <w:lang w:eastAsia="en-GB"/>
        </w:rPr>
        <w:t>features and benefits:</w:t>
      </w:r>
    </w:p>
    <w:p w14:paraId="275911CD"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 xml:space="preserve">A </w:t>
      </w:r>
      <w:proofErr w:type="gramStart"/>
      <w:r w:rsidRPr="000F7279">
        <w:rPr>
          <w:color w:val="000000" w:themeColor="text1"/>
          <w:lang w:eastAsia="en-GB"/>
        </w:rPr>
        <w:t>24 hour</w:t>
      </w:r>
      <w:proofErr w:type="gramEnd"/>
      <w:r w:rsidRPr="000F7279">
        <w:rPr>
          <w:color w:val="000000" w:themeColor="text1"/>
          <w:lang w:eastAsia="en-GB"/>
        </w:rPr>
        <w:t xml:space="preserve"> helpline for medical emergencies</w:t>
      </w:r>
    </w:p>
    <w:p w14:paraId="1F0CB8A5"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 xml:space="preserve">Emergency medical expenses in the event of illness or injury </w:t>
      </w:r>
    </w:p>
    <w:p w14:paraId="46145D3F"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Protection against cancellation or curtailment charges</w:t>
      </w:r>
    </w:p>
    <w:p w14:paraId="164A026C"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Cover for loss or damage to baggage and personal money</w:t>
      </w:r>
    </w:p>
    <w:p w14:paraId="304B961E"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A wide range of sports and activities covered</w:t>
      </w:r>
    </w:p>
    <w:p w14:paraId="5ECACF2B"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Cover for irrecoverable pre-paid college, university or language school fees</w:t>
      </w:r>
    </w:p>
    <w:p w14:paraId="257A8F65" w14:textId="77777777" w:rsidR="004F23F4" w:rsidRPr="000F7279" w:rsidRDefault="004F23F4" w:rsidP="004F23F4">
      <w:pPr>
        <w:numPr>
          <w:ilvl w:val="0"/>
          <w:numId w:val="4"/>
        </w:numPr>
        <w:rPr>
          <w:color w:val="000000" w:themeColor="text1"/>
          <w:lang w:eastAsia="en-GB"/>
        </w:rPr>
      </w:pPr>
      <w:r w:rsidRPr="000F7279">
        <w:rPr>
          <w:color w:val="000000" w:themeColor="text1"/>
          <w:lang w:eastAsia="en-GB"/>
        </w:rPr>
        <w:t>Leisure trips within Europe and any trip outside the UK if part of your course</w:t>
      </w:r>
    </w:p>
    <w:p w14:paraId="69DBE94F" w14:textId="77777777" w:rsidR="004F23F4" w:rsidRPr="000F7279" w:rsidRDefault="004F23F4" w:rsidP="004F23F4">
      <w:pPr>
        <w:rPr>
          <w:color w:val="000000" w:themeColor="text1"/>
          <w:sz w:val="14"/>
        </w:rPr>
      </w:pPr>
    </w:p>
    <w:p w14:paraId="349270D0" w14:textId="77777777" w:rsidR="004F23F4" w:rsidRPr="000F7279" w:rsidRDefault="004F23F4" w:rsidP="004F23F4">
      <w:pPr>
        <w:rPr>
          <w:rFonts w:eastAsia="Times New Roman"/>
          <w:b/>
          <w:color w:val="000000" w:themeColor="text1"/>
          <w:spacing w:val="5"/>
          <w:kern w:val="28"/>
          <w:lang w:eastAsia="en-GB"/>
        </w:rPr>
      </w:pPr>
      <w:r w:rsidRPr="000F7279">
        <w:rPr>
          <w:rFonts w:eastAsia="Times New Roman"/>
          <w:b/>
          <w:color w:val="000000" w:themeColor="text1"/>
          <w:spacing w:val="5"/>
          <w:kern w:val="28"/>
          <w:lang w:eastAsia="en-GB"/>
        </w:rPr>
        <w:t>Key eligibility criteria and exclusions:</w:t>
      </w:r>
    </w:p>
    <w:p w14:paraId="70FEB1BA" w14:textId="77777777" w:rsidR="004F23F4" w:rsidRPr="000F7279" w:rsidRDefault="004F23F4" w:rsidP="004F23F4">
      <w:pPr>
        <w:numPr>
          <w:ilvl w:val="0"/>
          <w:numId w:val="3"/>
        </w:numPr>
        <w:jc w:val="both"/>
        <w:rPr>
          <w:rFonts w:eastAsiaTheme="minorEastAsia"/>
          <w:color w:val="000000" w:themeColor="text1"/>
          <w:lang w:eastAsia="en-GB"/>
        </w:rPr>
      </w:pPr>
      <w:r w:rsidRPr="000F7279">
        <w:rPr>
          <w:rFonts w:eastAsiaTheme="minorEastAsia"/>
          <w:color w:val="000000" w:themeColor="text1"/>
          <w:lang w:eastAsia="en-GB"/>
        </w:rPr>
        <w:t xml:space="preserve">Not available to anyone aged </w:t>
      </w:r>
      <w:r w:rsidR="000F7279" w:rsidRPr="000F7279">
        <w:rPr>
          <w:rFonts w:eastAsiaTheme="minorEastAsia"/>
          <w:color w:val="000000" w:themeColor="text1"/>
          <w:lang w:eastAsia="en-GB"/>
        </w:rPr>
        <w:t>65</w:t>
      </w:r>
      <w:r w:rsidRPr="000F7279">
        <w:rPr>
          <w:rFonts w:eastAsiaTheme="minorEastAsia"/>
          <w:color w:val="000000" w:themeColor="text1"/>
          <w:lang w:eastAsia="en-GB"/>
        </w:rPr>
        <w:t xml:space="preserve"> or over</w:t>
      </w:r>
    </w:p>
    <w:p w14:paraId="75F5286C" w14:textId="77777777" w:rsidR="004F23F4" w:rsidRPr="000F7279" w:rsidRDefault="004F23F4" w:rsidP="004F23F4">
      <w:pPr>
        <w:numPr>
          <w:ilvl w:val="0"/>
          <w:numId w:val="3"/>
        </w:numPr>
        <w:jc w:val="both"/>
        <w:rPr>
          <w:rFonts w:eastAsiaTheme="minorEastAsia"/>
          <w:color w:val="000000" w:themeColor="text1"/>
          <w:lang w:eastAsia="en-GB"/>
        </w:rPr>
      </w:pPr>
      <w:r w:rsidRPr="000F7279">
        <w:rPr>
          <w:rFonts w:eastAsiaTheme="minorEastAsia"/>
          <w:color w:val="000000" w:themeColor="text1"/>
          <w:lang w:eastAsia="en-GB"/>
        </w:rPr>
        <w:t>No cover under cancellation or curtailment charges, emergency medical expenses or personal accident relating to any reason set out under ‘Important conditions relating to health’ – see group policy wording</w:t>
      </w:r>
    </w:p>
    <w:p w14:paraId="591CC12D" w14:textId="77777777" w:rsidR="004F23F4" w:rsidRPr="000F7279" w:rsidRDefault="004F23F4" w:rsidP="004F23F4">
      <w:pPr>
        <w:numPr>
          <w:ilvl w:val="0"/>
          <w:numId w:val="3"/>
        </w:numPr>
        <w:jc w:val="both"/>
        <w:rPr>
          <w:rFonts w:eastAsiaTheme="minorEastAsia"/>
          <w:color w:val="000000" w:themeColor="text1"/>
          <w:lang w:eastAsia="en-GB"/>
        </w:rPr>
      </w:pPr>
      <w:r w:rsidRPr="000F7279">
        <w:rPr>
          <w:rFonts w:eastAsiaTheme="minorEastAsia"/>
          <w:color w:val="000000" w:themeColor="text1"/>
          <w:lang w:eastAsia="en-GB"/>
        </w:rPr>
        <w:t>No cover where the FCO or World Health Organisation has advised against travel</w:t>
      </w:r>
    </w:p>
    <w:p w14:paraId="3F2BC49F" w14:textId="77777777" w:rsidR="004F23F4" w:rsidRPr="000F7279" w:rsidRDefault="004F23F4" w:rsidP="004F23F4">
      <w:pPr>
        <w:numPr>
          <w:ilvl w:val="0"/>
          <w:numId w:val="3"/>
        </w:numPr>
        <w:autoSpaceDE w:val="0"/>
        <w:autoSpaceDN w:val="0"/>
        <w:adjustRightInd w:val="0"/>
        <w:jc w:val="both"/>
        <w:rPr>
          <w:rFonts w:eastAsiaTheme="minorEastAsia"/>
          <w:color w:val="000000" w:themeColor="text1"/>
          <w:lang w:eastAsia="en-GB"/>
        </w:rPr>
      </w:pPr>
      <w:r w:rsidRPr="000F7279">
        <w:rPr>
          <w:rFonts w:eastAsiaTheme="minorEastAsia"/>
          <w:color w:val="000000" w:themeColor="text1"/>
          <w:lang w:eastAsia="en-GB"/>
        </w:rPr>
        <w:t xml:space="preserve">No cover where travel is not departing from and returning to your home country </w:t>
      </w:r>
    </w:p>
    <w:p w14:paraId="0D22E979" w14:textId="77777777" w:rsidR="004F23F4" w:rsidRPr="00DD35DF" w:rsidRDefault="004F23F4" w:rsidP="004F23F4">
      <w:pPr>
        <w:numPr>
          <w:ilvl w:val="0"/>
          <w:numId w:val="3"/>
        </w:numPr>
        <w:jc w:val="both"/>
        <w:rPr>
          <w:rFonts w:eastAsiaTheme="minorEastAsia"/>
          <w:lang w:eastAsia="en-GB"/>
        </w:rPr>
      </w:pPr>
      <w:r w:rsidRPr="000F7279">
        <w:rPr>
          <w:rFonts w:eastAsiaTheme="minorEastAsia"/>
          <w:color w:val="000000" w:themeColor="text1"/>
          <w:lang w:eastAsia="en-GB"/>
        </w:rPr>
        <w:t>Each claim will be subject to a £</w:t>
      </w:r>
      <w:r w:rsidR="000F7279" w:rsidRPr="000F7279">
        <w:rPr>
          <w:rFonts w:eastAsiaTheme="minorEastAsia"/>
          <w:color w:val="000000" w:themeColor="text1"/>
          <w:lang w:eastAsia="en-GB"/>
        </w:rPr>
        <w:t>50</w:t>
      </w:r>
      <w:r w:rsidRPr="000F7279">
        <w:rPr>
          <w:rFonts w:eastAsiaTheme="minorEastAsia"/>
          <w:color w:val="000000" w:themeColor="text1"/>
          <w:lang w:eastAsia="en-GB"/>
        </w:rPr>
        <w:t xml:space="preserve"> excess wherever </w:t>
      </w:r>
      <w:r w:rsidRPr="00DD35DF">
        <w:rPr>
          <w:rFonts w:eastAsiaTheme="minorEastAsia"/>
          <w:lang w:eastAsia="en-GB"/>
        </w:rPr>
        <w:t>an excess applies</w:t>
      </w:r>
    </w:p>
    <w:p w14:paraId="0F63750B" w14:textId="77777777" w:rsidR="004F23F4" w:rsidRPr="006006A4" w:rsidRDefault="004F23F4" w:rsidP="004F23F4">
      <w:pPr>
        <w:rPr>
          <w:sz w:val="14"/>
        </w:rPr>
      </w:pPr>
    </w:p>
    <w:p w14:paraId="758DCF4E" w14:textId="77777777" w:rsidR="004F23F4" w:rsidRPr="00DD35DF" w:rsidRDefault="004F23F4" w:rsidP="005127F8">
      <w:pPr>
        <w:jc w:val="both"/>
      </w:pPr>
      <w:r w:rsidRPr="00DD35DF">
        <w:t>The table below displays a summary of the maximum amounts which are payable under each section. Please note the group policy is subject to terms, conditions, limits and exclusions - please refer to the group policy wording and the statement of insurance for full details of the cover available.</w:t>
      </w:r>
    </w:p>
    <w:p w14:paraId="5C56D8E6" w14:textId="77777777" w:rsidR="004F23F4" w:rsidRPr="00406927" w:rsidRDefault="004F23F4" w:rsidP="004F23F4">
      <w:pPr>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5"/>
        <w:gridCol w:w="2758"/>
        <w:gridCol w:w="1629"/>
      </w:tblGrid>
      <w:tr w:rsidR="004F23F4" w:rsidRPr="00DD35DF" w14:paraId="46F4399F" w14:textId="77777777" w:rsidTr="007A17CE">
        <w:trPr>
          <w:trHeight w:val="295"/>
          <w:jc w:val="center"/>
        </w:trPr>
        <w:tc>
          <w:tcPr>
            <w:tcW w:w="9242" w:type="dxa"/>
            <w:gridSpan w:val="3"/>
            <w:tcBorders>
              <w:top w:val="single" w:sz="4" w:space="0" w:color="auto"/>
              <w:left w:val="single" w:sz="4" w:space="0" w:color="auto"/>
              <w:right w:val="single" w:sz="4" w:space="0" w:color="auto"/>
            </w:tcBorders>
            <w:shd w:val="pct15" w:color="auto" w:fill="FFFFFF" w:themeFill="background1"/>
            <w:vAlign w:val="center"/>
          </w:tcPr>
          <w:p w14:paraId="0ACBC93F" w14:textId="77777777" w:rsidR="004F23F4" w:rsidRPr="00F94F0E" w:rsidRDefault="004F23F4" w:rsidP="007A17CE">
            <w:pPr>
              <w:jc w:val="center"/>
              <w:rPr>
                <w:b/>
                <w:sz w:val="20"/>
                <w:szCs w:val="20"/>
              </w:rPr>
            </w:pPr>
            <w:r w:rsidRPr="00F94F0E">
              <w:rPr>
                <w:b/>
                <w:sz w:val="20"/>
                <w:szCs w:val="20"/>
              </w:rPr>
              <w:t>Insurance Summary</w:t>
            </w:r>
          </w:p>
        </w:tc>
      </w:tr>
      <w:tr w:rsidR="004F23F4" w:rsidRPr="00DD35DF" w14:paraId="7AC50DC4" w14:textId="77777777" w:rsidTr="007A17CE">
        <w:trPr>
          <w:trHeight w:val="295"/>
          <w:jc w:val="center"/>
        </w:trPr>
        <w:tc>
          <w:tcPr>
            <w:tcW w:w="4855" w:type="dxa"/>
            <w:tcBorders>
              <w:left w:val="single" w:sz="4" w:space="0" w:color="auto"/>
            </w:tcBorders>
            <w:shd w:val="pct15" w:color="auto" w:fill="FFFFFF" w:themeFill="background1"/>
            <w:vAlign w:val="center"/>
          </w:tcPr>
          <w:p w14:paraId="22536A65" w14:textId="77777777" w:rsidR="004F23F4" w:rsidRPr="00F94F0E" w:rsidRDefault="004F23F4" w:rsidP="007A17CE">
            <w:pPr>
              <w:rPr>
                <w:b/>
                <w:sz w:val="20"/>
                <w:szCs w:val="20"/>
              </w:rPr>
            </w:pPr>
            <w:r w:rsidRPr="00F94F0E">
              <w:rPr>
                <w:b/>
                <w:sz w:val="20"/>
                <w:szCs w:val="20"/>
              </w:rPr>
              <w:t>Benefits</w:t>
            </w:r>
          </w:p>
        </w:tc>
        <w:tc>
          <w:tcPr>
            <w:tcW w:w="2758" w:type="dxa"/>
            <w:shd w:val="pct15" w:color="auto" w:fill="FFFFFF" w:themeFill="background1"/>
            <w:vAlign w:val="center"/>
          </w:tcPr>
          <w:p w14:paraId="7525722A" w14:textId="77777777" w:rsidR="004F23F4" w:rsidRPr="000F7279" w:rsidRDefault="004F23F4" w:rsidP="007A17CE">
            <w:pPr>
              <w:jc w:val="center"/>
              <w:rPr>
                <w:b/>
                <w:color w:val="000000" w:themeColor="text1"/>
                <w:sz w:val="20"/>
                <w:szCs w:val="20"/>
              </w:rPr>
            </w:pPr>
            <w:r w:rsidRPr="000F7279">
              <w:rPr>
                <w:b/>
                <w:color w:val="000000" w:themeColor="text1"/>
                <w:sz w:val="20"/>
                <w:szCs w:val="20"/>
              </w:rPr>
              <w:t xml:space="preserve">Maximum </w:t>
            </w:r>
          </w:p>
        </w:tc>
        <w:tc>
          <w:tcPr>
            <w:tcW w:w="1629" w:type="dxa"/>
            <w:tcBorders>
              <w:right w:val="single" w:sz="4" w:space="0" w:color="auto"/>
            </w:tcBorders>
            <w:shd w:val="pct15" w:color="auto" w:fill="FFFFFF" w:themeFill="background1"/>
            <w:vAlign w:val="center"/>
          </w:tcPr>
          <w:p w14:paraId="3899AE6B" w14:textId="77777777" w:rsidR="004F23F4" w:rsidRPr="000F7279" w:rsidRDefault="004F23F4" w:rsidP="007A17CE">
            <w:pPr>
              <w:jc w:val="center"/>
              <w:rPr>
                <w:b/>
                <w:color w:val="000000" w:themeColor="text1"/>
                <w:sz w:val="20"/>
                <w:szCs w:val="20"/>
              </w:rPr>
            </w:pPr>
            <w:r w:rsidRPr="000F7279">
              <w:rPr>
                <w:b/>
                <w:color w:val="000000" w:themeColor="text1"/>
                <w:sz w:val="20"/>
                <w:szCs w:val="20"/>
              </w:rPr>
              <w:t>Excess</w:t>
            </w:r>
          </w:p>
        </w:tc>
      </w:tr>
      <w:tr w:rsidR="004F23F4" w:rsidRPr="00DD35DF" w14:paraId="6236C148" w14:textId="77777777" w:rsidTr="007A17CE">
        <w:trPr>
          <w:trHeight w:val="295"/>
          <w:jc w:val="center"/>
        </w:trPr>
        <w:tc>
          <w:tcPr>
            <w:tcW w:w="4855" w:type="dxa"/>
            <w:tcBorders>
              <w:left w:val="single" w:sz="4" w:space="0" w:color="auto"/>
              <w:bottom w:val="single" w:sz="4" w:space="0" w:color="000000"/>
            </w:tcBorders>
            <w:vAlign w:val="center"/>
          </w:tcPr>
          <w:p w14:paraId="74AE22AB" w14:textId="77777777" w:rsidR="004F23F4" w:rsidRPr="00F94F0E" w:rsidRDefault="004F23F4" w:rsidP="007A17CE">
            <w:pPr>
              <w:rPr>
                <w:b/>
                <w:sz w:val="20"/>
                <w:szCs w:val="20"/>
              </w:rPr>
            </w:pPr>
            <w:r w:rsidRPr="00F94F0E">
              <w:rPr>
                <w:b/>
                <w:sz w:val="20"/>
                <w:szCs w:val="20"/>
              </w:rPr>
              <w:t>Cancellation or curtailment charges</w:t>
            </w:r>
          </w:p>
        </w:tc>
        <w:tc>
          <w:tcPr>
            <w:tcW w:w="2758" w:type="dxa"/>
            <w:tcBorders>
              <w:bottom w:val="single" w:sz="4" w:space="0" w:color="000000"/>
            </w:tcBorders>
            <w:vAlign w:val="center"/>
          </w:tcPr>
          <w:p w14:paraId="5774EDBC" w14:textId="77777777" w:rsidR="004F23F4" w:rsidRPr="000F7279" w:rsidRDefault="004F23F4" w:rsidP="007A17CE">
            <w:pPr>
              <w:jc w:val="center"/>
              <w:rPr>
                <w:color w:val="000000" w:themeColor="text1"/>
                <w:sz w:val="20"/>
                <w:szCs w:val="20"/>
              </w:rPr>
            </w:pPr>
            <w:r w:rsidRPr="000F7279">
              <w:rPr>
                <w:color w:val="000000" w:themeColor="text1"/>
                <w:sz w:val="20"/>
                <w:szCs w:val="20"/>
              </w:rPr>
              <w:t>£3,000</w:t>
            </w:r>
          </w:p>
        </w:tc>
        <w:tc>
          <w:tcPr>
            <w:tcW w:w="1629" w:type="dxa"/>
            <w:tcBorders>
              <w:bottom w:val="single" w:sz="4" w:space="0" w:color="auto"/>
              <w:right w:val="single" w:sz="4" w:space="0" w:color="auto"/>
            </w:tcBorders>
            <w:vAlign w:val="center"/>
          </w:tcPr>
          <w:p w14:paraId="3BD129A0"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r w:rsidR="004F23F4" w:rsidRPr="00DD35DF" w14:paraId="758A1361" w14:textId="77777777" w:rsidTr="007A17CE">
        <w:trPr>
          <w:trHeight w:val="295"/>
          <w:jc w:val="center"/>
        </w:trPr>
        <w:tc>
          <w:tcPr>
            <w:tcW w:w="4855" w:type="dxa"/>
            <w:tcBorders>
              <w:top w:val="nil"/>
              <w:left w:val="single" w:sz="4" w:space="0" w:color="auto"/>
              <w:bottom w:val="nil"/>
              <w:right w:val="single" w:sz="4" w:space="0" w:color="000000"/>
            </w:tcBorders>
            <w:vAlign w:val="center"/>
          </w:tcPr>
          <w:p w14:paraId="69A1BF0B" w14:textId="77777777" w:rsidR="004F23F4" w:rsidRPr="00F94F0E" w:rsidRDefault="004F23F4" w:rsidP="007A17CE">
            <w:pPr>
              <w:rPr>
                <w:b/>
                <w:sz w:val="20"/>
                <w:szCs w:val="20"/>
              </w:rPr>
            </w:pPr>
            <w:r w:rsidRPr="00F94F0E">
              <w:rPr>
                <w:b/>
                <w:sz w:val="20"/>
                <w:szCs w:val="20"/>
              </w:rPr>
              <w:t>Emergency medical &amp; other expenses</w:t>
            </w:r>
          </w:p>
        </w:tc>
        <w:tc>
          <w:tcPr>
            <w:tcW w:w="2758" w:type="dxa"/>
            <w:tcBorders>
              <w:top w:val="nil"/>
              <w:left w:val="single" w:sz="4" w:space="0" w:color="000000"/>
              <w:bottom w:val="nil"/>
              <w:right w:val="single" w:sz="4" w:space="0" w:color="auto"/>
            </w:tcBorders>
            <w:vAlign w:val="center"/>
          </w:tcPr>
          <w:p w14:paraId="7D2B0BAB" w14:textId="77777777" w:rsidR="004F23F4" w:rsidRPr="000F7279" w:rsidRDefault="004F23F4" w:rsidP="007A17CE">
            <w:pPr>
              <w:jc w:val="center"/>
              <w:rPr>
                <w:color w:val="000000" w:themeColor="text1"/>
                <w:sz w:val="20"/>
                <w:szCs w:val="20"/>
              </w:rPr>
            </w:pPr>
            <w:r w:rsidRPr="000F7279">
              <w:rPr>
                <w:color w:val="000000" w:themeColor="text1"/>
                <w:sz w:val="20"/>
                <w:szCs w:val="20"/>
              </w:rPr>
              <w:t>£2,000,000</w:t>
            </w:r>
          </w:p>
        </w:tc>
        <w:tc>
          <w:tcPr>
            <w:tcW w:w="1629" w:type="dxa"/>
            <w:vMerge w:val="restart"/>
            <w:tcBorders>
              <w:top w:val="single" w:sz="4" w:space="0" w:color="auto"/>
              <w:left w:val="single" w:sz="4" w:space="0" w:color="auto"/>
              <w:bottom w:val="nil"/>
              <w:right w:val="single" w:sz="4" w:space="0" w:color="auto"/>
            </w:tcBorders>
          </w:tcPr>
          <w:p w14:paraId="776B96EE"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r w:rsidR="004F23F4" w:rsidRPr="00DD35DF" w14:paraId="1DDFB4F0" w14:textId="77777777" w:rsidTr="007A17CE">
        <w:trPr>
          <w:trHeight w:val="295"/>
          <w:jc w:val="center"/>
        </w:trPr>
        <w:tc>
          <w:tcPr>
            <w:tcW w:w="4855" w:type="dxa"/>
            <w:tcBorders>
              <w:top w:val="nil"/>
              <w:left w:val="single" w:sz="4" w:space="0" w:color="auto"/>
              <w:bottom w:val="nil"/>
              <w:right w:val="single" w:sz="4" w:space="0" w:color="000000"/>
            </w:tcBorders>
            <w:vAlign w:val="center"/>
          </w:tcPr>
          <w:p w14:paraId="4D16783C" w14:textId="77777777" w:rsidR="004F23F4" w:rsidRPr="00F94F0E" w:rsidRDefault="004F23F4" w:rsidP="007A17CE">
            <w:pPr>
              <w:rPr>
                <w:sz w:val="20"/>
                <w:szCs w:val="20"/>
              </w:rPr>
            </w:pPr>
            <w:r w:rsidRPr="00F94F0E">
              <w:rPr>
                <w:sz w:val="20"/>
                <w:szCs w:val="20"/>
              </w:rPr>
              <w:t xml:space="preserve">   Emergency dental treatment</w:t>
            </w:r>
          </w:p>
        </w:tc>
        <w:tc>
          <w:tcPr>
            <w:tcW w:w="2758" w:type="dxa"/>
            <w:tcBorders>
              <w:top w:val="nil"/>
              <w:left w:val="single" w:sz="4" w:space="0" w:color="000000"/>
              <w:bottom w:val="nil"/>
              <w:right w:val="single" w:sz="4" w:space="0" w:color="auto"/>
            </w:tcBorders>
            <w:vAlign w:val="center"/>
          </w:tcPr>
          <w:p w14:paraId="720F6358" w14:textId="77777777" w:rsidR="004F23F4" w:rsidRPr="000F7279" w:rsidRDefault="004F23F4" w:rsidP="007A17CE">
            <w:pPr>
              <w:jc w:val="center"/>
              <w:rPr>
                <w:color w:val="000000" w:themeColor="text1"/>
                <w:sz w:val="20"/>
                <w:szCs w:val="20"/>
              </w:rPr>
            </w:pPr>
            <w:r w:rsidRPr="000F7279">
              <w:rPr>
                <w:color w:val="000000" w:themeColor="text1"/>
                <w:sz w:val="20"/>
                <w:szCs w:val="20"/>
              </w:rPr>
              <w:t>£500</w:t>
            </w:r>
          </w:p>
        </w:tc>
        <w:tc>
          <w:tcPr>
            <w:tcW w:w="1629" w:type="dxa"/>
            <w:vMerge/>
            <w:tcBorders>
              <w:top w:val="nil"/>
              <w:left w:val="single" w:sz="4" w:space="0" w:color="auto"/>
              <w:bottom w:val="nil"/>
              <w:right w:val="single" w:sz="4" w:space="0" w:color="auto"/>
            </w:tcBorders>
          </w:tcPr>
          <w:p w14:paraId="53632718" w14:textId="77777777" w:rsidR="004F23F4" w:rsidRPr="000F7279" w:rsidRDefault="004F23F4" w:rsidP="007A17CE">
            <w:pPr>
              <w:jc w:val="center"/>
              <w:rPr>
                <w:color w:val="000000" w:themeColor="text1"/>
                <w:sz w:val="20"/>
                <w:szCs w:val="20"/>
              </w:rPr>
            </w:pPr>
          </w:p>
        </w:tc>
      </w:tr>
      <w:tr w:rsidR="004F23F4" w:rsidRPr="00DD35DF" w14:paraId="71AEF491" w14:textId="77777777" w:rsidTr="007A17CE">
        <w:trPr>
          <w:trHeight w:val="295"/>
          <w:jc w:val="center"/>
        </w:trPr>
        <w:tc>
          <w:tcPr>
            <w:tcW w:w="4855" w:type="dxa"/>
            <w:tcBorders>
              <w:left w:val="single" w:sz="4" w:space="0" w:color="auto"/>
              <w:bottom w:val="single" w:sz="4" w:space="0" w:color="auto"/>
            </w:tcBorders>
            <w:vAlign w:val="center"/>
          </w:tcPr>
          <w:p w14:paraId="2A2D2046" w14:textId="77777777" w:rsidR="004F23F4" w:rsidRPr="00F94F0E" w:rsidRDefault="004F23F4" w:rsidP="007A17CE">
            <w:pPr>
              <w:rPr>
                <w:b/>
                <w:sz w:val="20"/>
                <w:szCs w:val="20"/>
              </w:rPr>
            </w:pPr>
            <w:r w:rsidRPr="00F94F0E">
              <w:rPr>
                <w:b/>
                <w:sz w:val="20"/>
                <w:szCs w:val="20"/>
              </w:rPr>
              <w:t>Personal accident (subject to age)</w:t>
            </w:r>
          </w:p>
        </w:tc>
        <w:tc>
          <w:tcPr>
            <w:tcW w:w="2758" w:type="dxa"/>
            <w:tcBorders>
              <w:bottom w:val="single" w:sz="4" w:space="0" w:color="auto"/>
            </w:tcBorders>
            <w:vAlign w:val="center"/>
          </w:tcPr>
          <w:p w14:paraId="203BE30A" w14:textId="77777777" w:rsidR="004F23F4" w:rsidRPr="000F7279" w:rsidRDefault="004F23F4" w:rsidP="007A17CE">
            <w:pPr>
              <w:jc w:val="center"/>
              <w:rPr>
                <w:color w:val="000000" w:themeColor="text1"/>
                <w:sz w:val="20"/>
                <w:szCs w:val="20"/>
              </w:rPr>
            </w:pPr>
            <w:r w:rsidRPr="000F7279">
              <w:rPr>
                <w:color w:val="000000" w:themeColor="text1"/>
                <w:sz w:val="20"/>
                <w:szCs w:val="20"/>
              </w:rPr>
              <w:t xml:space="preserve">£30,000 </w:t>
            </w:r>
          </w:p>
        </w:tc>
        <w:tc>
          <w:tcPr>
            <w:tcW w:w="1629" w:type="dxa"/>
            <w:tcBorders>
              <w:top w:val="single" w:sz="4" w:space="0" w:color="auto"/>
              <w:bottom w:val="single" w:sz="4" w:space="0" w:color="auto"/>
              <w:right w:val="single" w:sz="4" w:space="0" w:color="auto"/>
            </w:tcBorders>
            <w:vAlign w:val="center"/>
          </w:tcPr>
          <w:p w14:paraId="3481C6A8" w14:textId="77777777" w:rsidR="004F23F4" w:rsidRPr="000F7279" w:rsidRDefault="004F23F4" w:rsidP="007A17CE">
            <w:pPr>
              <w:jc w:val="center"/>
              <w:rPr>
                <w:color w:val="000000" w:themeColor="text1"/>
                <w:sz w:val="20"/>
                <w:szCs w:val="20"/>
              </w:rPr>
            </w:pPr>
            <w:r w:rsidRPr="000F7279">
              <w:rPr>
                <w:color w:val="000000" w:themeColor="text1"/>
                <w:sz w:val="20"/>
                <w:szCs w:val="20"/>
              </w:rPr>
              <w:t>£0</w:t>
            </w:r>
          </w:p>
        </w:tc>
      </w:tr>
      <w:tr w:rsidR="004F23F4" w:rsidRPr="00DD35DF" w14:paraId="0A196811" w14:textId="77777777" w:rsidTr="007A17CE">
        <w:trPr>
          <w:trHeight w:val="295"/>
          <w:jc w:val="center"/>
        </w:trPr>
        <w:tc>
          <w:tcPr>
            <w:tcW w:w="4855" w:type="dxa"/>
            <w:tcBorders>
              <w:top w:val="single" w:sz="4" w:space="0" w:color="auto"/>
              <w:left w:val="single" w:sz="4" w:space="0" w:color="auto"/>
              <w:bottom w:val="nil"/>
            </w:tcBorders>
            <w:vAlign w:val="center"/>
          </w:tcPr>
          <w:p w14:paraId="5FE96133" w14:textId="77777777" w:rsidR="004F23F4" w:rsidRPr="00F94F0E" w:rsidRDefault="004F23F4" w:rsidP="007A17CE">
            <w:pPr>
              <w:rPr>
                <w:b/>
                <w:sz w:val="20"/>
                <w:szCs w:val="20"/>
              </w:rPr>
            </w:pPr>
            <w:r w:rsidRPr="00F94F0E">
              <w:rPr>
                <w:b/>
                <w:sz w:val="20"/>
                <w:szCs w:val="20"/>
              </w:rPr>
              <w:t>Baggage</w:t>
            </w:r>
          </w:p>
        </w:tc>
        <w:tc>
          <w:tcPr>
            <w:tcW w:w="2758" w:type="dxa"/>
            <w:tcBorders>
              <w:top w:val="single" w:sz="4" w:space="0" w:color="auto"/>
              <w:bottom w:val="nil"/>
            </w:tcBorders>
            <w:vAlign w:val="center"/>
          </w:tcPr>
          <w:p w14:paraId="1742CB8E" w14:textId="77777777" w:rsidR="004F23F4" w:rsidRPr="000F7279" w:rsidRDefault="004F23F4" w:rsidP="007A17CE">
            <w:pPr>
              <w:jc w:val="center"/>
              <w:rPr>
                <w:color w:val="000000" w:themeColor="text1"/>
                <w:sz w:val="20"/>
                <w:szCs w:val="20"/>
              </w:rPr>
            </w:pPr>
            <w:r w:rsidRPr="000F7279">
              <w:rPr>
                <w:color w:val="000000" w:themeColor="text1"/>
                <w:sz w:val="20"/>
                <w:szCs w:val="20"/>
              </w:rPr>
              <w:t>£1,000</w:t>
            </w:r>
          </w:p>
        </w:tc>
        <w:tc>
          <w:tcPr>
            <w:tcW w:w="1629" w:type="dxa"/>
            <w:vMerge w:val="restart"/>
            <w:tcBorders>
              <w:top w:val="single" w:sz="4" w:space="0" w:color="auto"/>
              <w:right w:val="single" w:sz="4" w:space="0" w:color="auto"/>
            </w:tcBorders>
          </w:tcPr>
          <w:p w14:paraId="7887BAE2"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r w:rsidR="004F23F4" w:rsidRPr="00DD35DF" w14:paraId="46382611" w14:textId="77777777" w:rsidTr="007A17CE">
        <w:trPr>
          <w:trHeight w:val="295"/>
          <w:jc w:val="center"/>
        </w:trPr>
        <w:tc>
          <w:tcPr>
            <w:tcW w:w="4855" w:type="dxa"/>
            <w:tcBorders>
              <w:top w:val="nil"/>
              <w:left w:val="single" w:sz="4" w:space="0" w:color="auto"/>
              <w:bottom w:val="nil"/>
            </w:tcBorders>
            <w:vAlign w:val="center"/>
          </w:tcPr>
          <w:p w14:paraId="0BBA0050" w14:textId="77777777" w:rsidR="004F23F4" w:rsidRPr="00F94F0E" w:rsidRDefault="004F23F4" w:rsidP="007A17CE">
            <w:pPr>
              <w:rPr>
                <w:sz w:val="20"/>
                <w:szCs w:val="20"/>
              </w:rPr>
            </w:pPr>
            <w:r w:rsidRPr="00F94F0E">
              <w:rPr>
                <w:sz w:val="20"/>
                <w:szCs w:val="20"/>
              </w:rPr>
              <w:t xml:space="preserve">   Single article, pair or set limit</w:t>
            </w:r>
          </w:p>
        </w:tc>
        <w:tc>
          <w:tcPr>
            <w:tcW w:w="2758" w:type="dxa"/>
            <w:tcBorders>
              <w:top w:val="nil"/>
              <w:bottom w:val="nil"/>
            </w:tcBorders>
            <w:vAlign w:val="center"/>
          </w:tcPr>
          <w:p w14:paraId="79AAB003" w14:textId="77777777" w:rsidR="004F23F4" w:rsidRPr="000F7279" w:rsidRDefault="004F23F4" w:rsidP="007A17CE">
            <w:pPr>
              <w:jc w:val="center"/>
              <w:rPr>
                <w:color w:val="000000" w:themeColor="text1"/>
                <w:sz w:val="20"/>
                <w:szCs w:val="20"/>
              </w:rPr>
            </w:pPr>
            <w:r w:rsidRPr="000F7279">
              <w:rPr>
                <w:color w:val="000000" w:themeColor="text1"/>
                <w:sz w:val="20"/>
                <w:szCs w:val="20"/>
              </w:rPr>
              <w:t>£200</w:t>
            </w:r>
          </w:p>
        </w:tc>
        <w:tc>
          <w:tcPr>
            <w:tcW w:w="1629" w:type="dxa"/>
            <w:vMerge/>
            <w:tcBorders>
              <w:right w:val="single" w:sz="4" w:space="0" w:color="auto"/>
            </w:tcBorders>
            <w:vAlign w:val="center"/>
          </w:tcPr>
          <w:p w14:paraId="242F50B6" w14:textId="77777777" w:rsidR="004F23F4" w:rsidRPr="000F7279" w:rsidRDefault="004F23F4" w:rsidP="007A17CE">
            <w:pPr>
              <w:jc w:val="center"/>
              <w:rPr>
                <w:color w:val="000000" w:themeColor="text1"/>
                <w:sz w:val="20"/>
                <w:szCs w:val="20"/>
              </w:rPr>
            </w:pPr>
          </w:p>
        </w:tc>
      </w:tr>
      <w:tr w:rsidR="004F23F4" w:rsidRPr="00DD35DF" w14:paraId="15B2DBE2" w14:textId="77777777" w:rsidTr="007A17CE">
        <w:trPr>
          <w:trHeight w:val="295"/>
          <w:jc w:val="center"/>
        </w:trPr>
        <w:tc>
          <w:tcPr>
            <w:tcW w:w="4855" w:type="dxa"/>
            <w:tcBorders>
              <w:top w:val="nil"/>
              <w:left w:val="single" w:sz="4" w:space="0" w:color="auto"/>
              <w:bottom w:val="nil"/>
            </w:tcBorders>
            <w:vAlign w:val="center"/>
          </w:tcPr>
          <w:p w14:paraId="73192CBE" w14:textId="77777777" w:rsidR="004F23F4" w:rsidRPr="00F94F0E" w:rsidRDefault="004F23F4" w:rsidP="007A17CE">
            <w:pPr>
              <w:rPr>
                <w:sz w:val="20"/>
                <w:szCs w:val="20"/>
              </w:rPr>
            </w:pPr>
            <w:r w:rsidRPr="00F94F0E">
              <w:rPr>
                <w:sz w:val="20"/>
                <w:szCs w:val="20"/>
              </w:rPr>
              <w:t xml:space="preserve">   Valuables limit in total</w:t>
            </w:r>
          </w:p>
        </w:tc>
        <w:tc>
          <w:tcPr>
            <w:tcW w:w="2758" w:type="dxa"/>
            <w:tcBorders>
              <w:top w:val="nil"/>
              <w:bottom w:val="nil"/>
            </w:tcBorders>
            <w:vAlign w:val="center"/>
          </w:tcPr>
          <w:p w14:paraId="27D67BAC" w14:textId="77777777" w:rsidR="004F23F4" w:rsidRPr="000F7279" w:rsidRDefault="004F23F4" w:rsidP="007A17CE">
            <w:pPr>
              <w:jc w:val="center"/>
              <w:rPr>
                <w:color w:val="000000" w:themeColor="text1"/>
                <w:sz w:val="20"/>
                <w:szCs w:val="20"/>
              </w:rPr>
            </w:pPr>
            <w:r w:rsidRPr="000F7279">
              <w:rPr>
                <w:color w:val="000000" w:themeColor="text1"/>
                <w:sz w:val="20"/>
                <w:szCs w:val="20"/>
              </w:rPr>
              <w:t>£300</w:t>
            </w:r>
          </w:p>
        </w:tc>
        <w:tc>
          <w:tcPr>
            <w:tcW w:w="1629" w:type="dxa"/>
            <w:vMerge/>
            <w:tcBorders>
              <w:bottom w:val="nil"/>
              <w:right w:val="single" w:sz="4" w:space="0" w:color="auto"/>
            </w:tcBorders>
            <w:vAlign w:val="center"/>
          </w:tcPr>
          <w:p w14:paraId="6A5338B1" w14:textId="77777777" w:rsidR="004F23F4" w:rsidRPr="000F7279" w:rsidRDefault="004F23F4" w:rsidP="007A17CE">
            <w:pPr>
              <w:jc w:val="center"/>
              <w:rPr>
                <w:color w:val="000000" w:themeColor="text1"/>
                <w:sz w:val="20"/>
                <w:szCs w:val="20"/>
              </w:rPr>
            </w:pPr>
          </w:p>
        </w:tc>
      </w:tr>
      <w:tr w:rsidR="004F23F4" w:rsidRPr="00DD35DF" w14:paraId="0F846B1A" w14:textId="77777777" w:rsidTr="007A17CE">
        <w:trPr>
          <w:trHeight w:val="295"/>
          <w:jc w:val="center"/>
        </w:trPr>
        <w:tc>
          <w:tcPr>
            <w:tcW w:w="4855" w:type="dxa"/>
            <w:tcBorders>
              <w:top w:val="single" w:sz="4" w:space="0" w:color="auto"/>
              <w:left w:val="single" w:sz="4" w:space="0" w:color="auto"/>
              <w:bottom w:val="nil"/>
            </w:tcBorders>
            <w:vAlign w:val="center"/>
          </w:tcPr>
          <w:p w14:paraId="09AA3111" w14:textId="77777777" w:rsidR="004F23F4" w:rsidRPr="00F94F0E" w:rsidRDefault="004F23F4" w:rsidP="007A17CE">
            <w:pPr>
              <w:rPr>
                <w:b/>
                <w:sz w:val="20"/>
                <w:szCs w:val="20"/>
              </w:rPr>
            </w:pPr>
            <w:r w:rsidRPr="00F94F0E">
              <w:rPr>
                <w:b/>
                <w:sz w:val="20"/>
                <w:szCs w:val="20"/>
              </w:rPr>
              <w:t>Personal money, passport &amp; documents</w:t>
            </w:r>
          </w:p>
        </w:tc>
        <w:tc>
          <w:tcPr>
            <w:tcW w:w="2758" w:type="dxa"/>
            <w:tcBorders>
              <w:top w:val="single" w:sz="4" w:space="0" w:color="auto"/>
              <w:bottom w:val="nil"/>
            </w:tcBorders>
            <w:vAlign w:val="center"/>
          </w:tcPr>
          <w:p w14:paraId="612902FC" w14:textId="77777777" w:rsidR="004F23F4" w:rsidRPr="000F7279" w:rsidRDefault="004F23F4" w:rsidP="007A17CE">
            <w:pPr>
              <w:jc w:val="center"/>
              <w:rPr>
                <w:color w:val="000000" w:themeColor="text1"/>
                <w:sz w:val="20"/>
                <w:szCs w:val="20"/>
              </w:rPr>
            </w:pPr>
          </w:p>
        </w:tc>
        <w:tc>
          <w:tcPr>
            <w:tcW w:w="1629" w:type="dxa"/>
            <w:vMerge w:val="restart"/>
            <w:tcBorders>
              <w:top w:val="single" w:sz="4" w:space="0" w:color="auto"/>
              <w:right w:val="single" w:sz="4" w:space="0" w:color="auto"/>
            </w:tcBorders>
          </w:tcPr>
          <w:p w14:paraId="7D646505"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r w:rsidR="004F23F4" w:rsidRPr="00DD35DF" w14:paraId="246B20A2" w14:textId="77777777" w:rsidTr="007A17CE">
        <w:trPr>
          <w:trHeight w:val="295"/>
          <w:jc w:val="center"/>
        </w:trPr>
        <w:tc>
          <w:tcPr>
            <w:tcW w:w="4855" w:type="dxa"/>
            <w:tcBorders>
              <w:top w:val="nil"/>
              <w:left w:val="single" w:sz="4" w:space="0" w:color="auto"/>
              <w:bottom w:val="nil"/>
            </w:tcBorders>
            <w:vAlign w:val="center"/>
          </w:tcPr>
          <w:p w14:paraId="660D88B4" w14:textId="77777777" w:rsidR="004F23F4" w:rsidRPr="00F94F0E" w:rsidRDefault="004F23F4" w:rsidP="007A17CE">
            <w:pPr>
              <w:rPr>
                <w:sz w:val="20"/>
                <w:szCs w:val="20"/>
              </w:rPr>
            </w:pPr>
            <w:r w:rsidRPr="00F94F0E">
              <w:rPr>
                <w:sz w:val="20"/>
                <w:szCs w:val="20"/>
              </w:rPr>
              <w:t xml:space="preserve">   Currency, notes and coins</w:t>
            </w:r>
          </w:p>
        </w:tc>
        <w:tc>
          <w:tcPr>
            <w:tcW w:w="2758" w:type="dxa"/>
            <w:tcBorders>
              <w:top w:val="nil"/>
              <w:bottom w:val="nil"/>
            </w:tcBorders>
            <w:vAlign w:val="center"/>
          </w:tcPr>
          <w:p w14:paraId="30424D70" w14:textId="77777777" w:rsidR="004F23F4" w:rsidRPr="000F7279" w:rsidRDefault="004F23F4" w:rsidP="007A17CE">
            <w:pPr>
              <w:jc w:val="center"/>
              <w:rPr>
                <w:color w:val="000000" w:themeColor="text1"/>
                <w:sz w:val="20"/>
                <w:szCs w:val="20"/>
              </w:rPr>
            </w:pPr>
            <w:r w:rsidRPr="000F7279">
              <w:rPr>
                <w:color w:val="000000" w:themeColor="text1"/>
                <w:sz w:val="20"/>
                <w:szCs w:val="20"/>
              </w:rPr>
              <w:t>£100</w:t>
            </w:r>
          </w:p>
        </w:tc>
        <w:tc>
          <w:tcPr>
            <w:tcW w:w="1629" w:type="dxa"/>
            <w:vMerge/>
            <w:tcBorders>
              <w:right w:val="single" w:sz="4" w:space="0" w:color="auto"/>
            </w:tcBorders>
            <w:vAlign w:val="center"/>
          </w:tcPr>
          <w:p w14:paraId="7AA198AD" w14:textId="77777777" w:rsidR="004F23F4" w:rsidRPr="000F7279" w:rsidRDefault="004F23F4" w:rsidP="007A17CE">
            <w:pPr>
              <w:jc w:val="center"/>
              <w:rPr>
                <w:color w:val="000000" w:themeColor="text1"/>
                <w:sz w:val="20"/>
                <w:szCs w:val="20"/>
              </w:rPr>
            </w:pPr>
          </w:p>
        </w:tc>
      </w:tr>
      <w:tr w:rsidR="004F23F4" w:rsidRPr="00DD35DF" w14:paraId="50C4268A" w14:textId="77777777" w:rsidTr="007A17CE">
        <w:trPr>
          <w:trHeight w:val="295"/>
          <w:jc w:val="center"/>
        </w:trPr>
        <w:tc>
          <w:tcPr>
            <w:tcW w:w="4855" w:type="dxa"/>
            <w:tcBorders>
              <w:top w:val="nil"/>
              <w:left w:val="single" w:sz="4" w:space="0" w:color="auto"/>
              <w:bottom w:val="nil"/>
            </w:tcBorders>
            <w:vAlign w:val="center"/>
          </w:tcPr>
          <w:p w14:paraId="3CCF9D06" w14:textId="77777777" w:rsidR="004F23F4" w:rsidRPr="00F94F0E" w:rsidRDefault="004F23F4" w:rsidP="007A17CE">
            <w:pPr>
              <w:rPr>
                <w:sz w:val="20"/>
                <w:szCs w:val="20"/>
              </w:rPr>
            </w:pPr>
            <w:r w:rsidRPr="00F94F0E">
              <w:rPr>
                <w:sz w:val="20"/>
                <w:szCs w:val="20"/>
              </w:rPr>
              <w:t xml:space="preserve">   Other personal money and documents</w:t>
            </w:r>
          </w:p>
        </w:tc>
        <w:tc>
          <w:tcPr>
            <w:tcW w:w="2758" w:type="dxa"/>
            <w:tcBorders>
              <w:top w:val="nil"/>
              <w:bottom w:val="nil"/>
            </w:tcBorders>
            <w:vAlign w:val="center"/>
          </w:tcPr>
          <w:p w14:paraId="03C7D589" w14:textId="77777777" w:rsidR="004F23F4" w:rsidRPr="000F7279" w:rsidRDefault="004F23F4" w:rsidP="007A17CE">
            <w:pPr>
              <w:jc w:val="center"/>
              <w:rPr>
                <w:color w:val="000000" w:themeColor="text1"/>
                <w:sz w:val="20"/>
                <w:szCs w:val="20"/>
              </w:rPr>
            </w:pPr>
            <w:r w:rsidRPr="000F7279">
              <w:rPr>
                <w:color w:val="000000" w:themeColor="text1"/>
                <w:sz w:val="20"/>
                <w:szCs w:val="20"/>
              </w:rPr>
              <w:t>£100</w:t>
            </w:r>
          </w:p>
        </w:tc>
        <w:tc>
          <w:tcPr>
            <w:tcW w:w="1629" w:type="dxa"/>
            <w:vMerge/>
            <w:tcBorders>
              <w:right w:val="single" w:sz="4" w:space="0" w:color="auto"/>
            </w:tcBorders>
            <w:vAlign w:val="center"/>
          </w:tcPr>
          <w:p w14:paraId="2457A0E5" w14:textId="77777777" w:rsidR="004F23F4" w:rsidRPr="000F7279" w:rsidRDefault="004F23F4" w:rsidP="007A17CE">
            <w:pPr>
              <w:jc w:val="center"/>
              <w:rPr>
                <w:color w:val="000000" w:themeColor="text1"/>
                <w:sz w:val="20"/>
                <w:szCs w:val="20"/>
              </w:rPr>
            </w:pPr>
          </w:p>
        </w:tc>
      </w:tr>
      <w:tr w:rsidR="004F23F4" w:rsidRPr="00DD35DF" w14:paraId="13CC1388" w14:textId="77777777" w:rsidTr="007A17CE">
        <w:trPr>
          <w:trHeight w:val="295"/>
          <w:jc w:val="center"/>
        </w:trPr>
        <w:tc>
          <w:tcPr>
            <w:tcW w:w="4855" w:type="dxa"/>
            <w:tcBorders>
              <w:top w:val="nil"/>
              <w:left w:val="single" w:sz="4" w:space="0" w:color="auto"/>
              <w:bottom w:val="nil"/>
            </w:tcBorders>
            <w:vAlign w:val="center"/>
          </w:tcPr>
          <w:p w14:paraId="10076290" w14:textId="77777777" w:rsidR="004F23F4" w:rsidRPr="00F94F0E" w:rsidRDefault="004F23F4" w:rsidP="007A17CE">
            <w:pPr>
              <w:rPr>
                <w:sz w:val="20"/>
                <w:szCs w:val="20"/>
              </w:rPr>
            </w:pPr>
            <w:r w:rsidRPr="00F94F0E">
              <w:rPr>
                <w:sz w:val="20"/>
                <w:szCs w:val="20"/>
              </w:rPr>
              <w:t xml:space="preserve">   Passport or visa</w:t>
            </w:r>
          </w:p>
        </w:tc>
        <w:tc>
          <w:tcPr>
            <w:tcW w:w="2758" w:type="dxa"/>
            <w:tcBorders>
              <w:top w:val="nil"/>
              <w:bottom w:val="nil"/>
            </w:tcBorders>
            <w:vAlign w:val="center"/>
          </w:tcPr>
          <w:p w14:paraId="065CED68" w14:textId="77777777" w:rsidR="004F23F4" w:rsidRPr="000F7279" w:rsidRDefault="004F23F4" w:rsidP="007A17CE">
            <w:pPr>
              <w:jc w:val="center"/>
              <w:rPr>
                <w:color w:val="000000" w:themeColor="text1"/>
                <w:sz w:val="20"/>
                <w:szCs w:val="20"/>
              </w:rPr>
            </w:pPr>
            <w:r w:rsidRPr="000F7279">
              <w:rPr>
                <w:color w:val="000000" w:themeColor="text1"/>
                <w:sz w:val="20"/>
                <w:szCs w:val="20"/>
              </w:rPr>
              <w:t>£500</w:t>
            </w:r>
          </w:p>
        </w:tc>
        <w:tc>
          <w:tcPr>
            <w:tcW w:w="1629" w:type="dxa"/>
            <w:vMerge/>
            <w:tcBorders>
              <w:bottom w:val="nil"/>
              <w:right w:val="single" w:sz="4" w:space="0" w:color="auto"/>
            </w:tcBorders>
            <w:vAlign w:val="center"/>
          </w:tcPr>
          <w:p w14:paraId="360C6003" w14:textId="77777777" w:rsidR="004F23F4" w:rsidRPr="000F7279" w:rsidRDefault="004F23F4" w:rsidP="007A17CE">
            <w:pPr>
              <w:jc w:val="center"/>
              <w:rPr>
                <w:color w:val="000000" w:themeColor="text1"/>
                <w:sz w:val="20"/>
                <w:szCs w:val="20"/>
              </w:rPr>
            </w:pPr>
          </w:p>
        </w:tc>
      </w:tr>
      <w:tr w:rsidR="004F23F4" w:rsidRPr="00DD35DF" w14:paraId="0DDB8CEB" w14:textId="77777777" w:rsidTr="007A17CE">
        <w:trPr>
          <w:trHeight w:val="295"/>
          <w:jc w:val="center"/>
        </w:trPr>
        <w:tc>
          <w:tcPr>
            <w:tcW w:w="4855" w:type="dxa"/>
            <w:tcBorders>
              <w:left w:val="single" w:sz="4" w:space="0" w:color="auto"/>
            </w:tcBorders>
            <w:vAlign w:val="center"/>
          </w:tcPr>
          <w:p w14:paraId="171603FA" w14:textId="77777777" w:rsidR="004F23F4" w:rsidRPr="00F94F0E" w:rsidRDefault="004F23F4" w:rsidP="007A17CE">
            <w:pPr>
              <w:rPr>
                <w:b/>
                <w:sz w:val="20"/>
                <w:szCs w:val="20"/>
              </w:rPr>
            </w:pPr>
            <w:r w:rsidRPr="00F94F0E">
              <w:rPr>
                <w:b/>
                <w:sz w:val="20"/>
                <w:szCs w:val="20"/>
              </w:rPr>
              <w:t>Personal liability</w:t>
            </w:r>
          </w:p>
        </w:tc>
        <w:tc>
          <w:tcPr>
            <w:tcW w:w="2758" w:type="dxa"/>
            <w:vAlign w:val="center"/>
          </w:tcPr>
          <w:p w14:paraId="42A350CE" w14:textId="77777777" w:rsidR="004F23F4" w:rsidRPr="000F7279" w:rsidRDefault="004F23F4" w:rsidP="007A17CE">
            <w:pPr>
              <w:jc w:val="center"/>
              <w:rPr>
                <w:color w:val="000000" w:themeColor="text1"/>
                <w:sz w:val="20"/>
                <w:szCs w:val="20"/>
              </w:rPr>
            </w:pPr>
            <w:r w:rsidRPr="000F7279">
              <w:rPr>
                <w:color w:val="000000" w:themeColor="text1"/>
                <w:sz w:val="20"/>
                <w:szCs w:val="20"/>
              </w:rPr>
              <w:t>£1,000,000</w:t>
            </w:r>
          </w:p>
        </w:tc>
        <w:tc>
          <w:tcPr>
            <w:tcW w:w="1629" w:type="dxa"/>
            <w:tcBorders>
              <w:right w:val="single" w:sz="4" w:space="0" w:color="auto"/>
            </w:tcBorders>
            <w:vAlign w:val="center"/>
          </w:tcPr>
          <w:p w14:paraId="0E5FD784" w14:textId="77777777" w:rsidR="004F23F4" w:rsidRPr="000F7279" w:rsidRDefault="004F23F4" w:rsidP="007A17CE">
            <w:pPr>
              <w:jc w:val="center"/>
              <w:rPr>
                <w:color w:val="000000" w:themeColor="text1"/>
                <w:sz w:val="20"/>
                <w:szCs w:val="20"/>
              </w:rPr>
            </w:pPr>
            <w:r w:rsidRPr="000F7279">
              <w:rPr>
                <w:color w:val="000000" w:themeColor="text1"/>
                <w:sz w:val="20"/>
                <w:szCs w:val="20"/>
              </w:rPr>
              <w:t>£100</w:t>
            </w:r>
          </w:p>
        </w:tc>
      </w:tr>
      <w:tr w:rsidR="004F23F4" w:rsidRPr="00DD35DF" w14:paraId="551588A4" w14:textId="77777777" w:rsidTr="007A17CE">
        <w:trPr>
          <w:trHeight w:val="295"/>
          <w:jc w:val="center"/>
        </w:trPr>
        <w:tc>
          <w:tcPr>
            <w:tcW w:w="4855" w:type="dxa"/>
            <w:tcBorders>
              <w:left w:val="single" w:sz="4" w:space="0" w:color="auto"/>
            </w:tcBorders>
            <w:vAlign w:val="center"/>
          </w:tcPr>
          <w:p w14:paraId="3AB9BC0F" w14:textId="77777777" w:rsidR="004F23F4" w:rsidRPr="00F94F0E" w:rsidRDefault="004F23F4" w:rsidP="007A17CE">
            <w:pPr>
              <w:rPr>
                <w:b/>
                <w:sz w:val="20"/>
                <w:szCs w:val="20"/>
              </w:rPr>
            </w:pPr>
            <w:r w:rsidRPr="00F94F0E">
              <w:rPr>
                <w:b/>
                <w:sz w:val="20"/>
                <w:szCs w:val="20"/>
              </w:rPr>
              <w:t>Missed departure</w:t>
            </w:r>
          </w:p>
        </w:tc>
        <w:tc>
          <w:tcPr>
            <w:tcW w:w="2758" w:type="dxa"/>
            <w:vAlign w:val="center"/>
          </w:tcPr>
          <w:p w14:paraId="02705722" w14:textId="77777777" w:rsidR="004F23F4" w:rsidRPr="000F7279" w:rsidRDefault="004F23F4" w:rsidP="007A17CE">
            <w:pPr>
              <w:jc w:val="center"/>
              <w:rPr>
                <w:color w:val="000000" w:themeColor="text1"/>
                <w:sz w:val="20"/>
                <w:szCs w:val="20"/>
              </w:rPr>
            </w:pPr>
            <w:r w:rsidRPr="000F7279">
              <w:rPr>
                <w:color w:val="000000" w:themeColor="text1"/>
                <w:sz w:val="20"/>
                <w:szCs w:val="20"/>
              </w:rPr>
              <w:t>£250</w:t>
            </w:r>
          </w:p>
        </w:tc>
        <w:tc>
          <w:tcPr>
            <w:tcW w:w="1629" w:type="dxa"/>
            <w:tcBorders>
              <w:right w:val="single" w:sz="4" w:space="0" w:color="auto"/>
            </w:tcBorders>
            <w:vAlign w:val="center"/>
          </w:tcPr>
          <w:p w14:paraId="2ACB5200"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r w:rsidR="004F23F4" w:rsidRPr="00DD35DF" w14:paraId="68BD5D87" w14:textId="77777777" w:rsidTr="007A17CE">
        <w:trPr>
          <w:trHeight w:val="295"/>
          <w:jc w:val="center"/>
        </w:trPr>
        <w:tc>
          <w:tcPr>
            <w:tcW w:w="4855" w:type="dxa"/>
            <w:tcBorders>
              <w:left w:val="single" w:sz="4" w:space="0" w:color="auto"/>
              <w:bottom w:val="single" w:sz="4" w:space="0" w:color="auto"/>
            </w:tcBorders>
            <w:vAlign w:val="center"/>
          </w:tcPr>
          <w:p w14:paraId="3627E6BA" w14:textId="77777777" w:rsidR="004F23F4" w:rsidRPr="00F94F0E" w:rsidRDefault="004F23F4" w:rsidP="007A17CE">
            <w:pPr>
              <w:rPr>
                <w:b/>
                <w:sz w:val="20"/>
                <w:szCs w:val="20"/>
              </w:rPr>
            </w:pPr>
            <w:r w:rsidRPr="00F94F0E">
              <w:rPr>
                <w:b/>
                <w:sz w:val="20"/>
                <w:szCs w:val="20"/>
              </w:rPr>
              <w:t>Overseas legal expenses &amp; assistance</w:t>
            </w:r>
          </w:p>
        </w:tc>
        <w:tc>
          <w:tcPr>
            <w:tcW w:w="2758" w:type="dxa"/>
            <w:tcBorders>
              <w:bottom w:val="single" w:sz="4" w:space="0" w:color="auto"/>
            </w:tcBorders>
            <w:vAlign w:val="center"/>
          </w:tcPr>
          <w:p w14:paraId="33CB3DAB" w14:textId="77777777" w:rsidR="004F23F4" w:rsidRPr="000F7279" w:rsidRDefault="006135EA" w:rsidP="007A17CE">
            <w:pPr>
              <w:jc w:val="center"/>
              <w:rPr>
                <w:color w:val="000000" w:themeColor="text1"/>
                <w:sz w:val="20"/>
                <w:szCs w:val="20"/>
              </w:rPr>
            </w:pPr>
            <w:r w:rsidRPr="000F7279">
              <w:rPr>
                <w:color w:val="000000" w:themeColor="text1"/>
                <w:sz w:val="20"/>
                <w:szCs w:val="20"/>
              </w:rPr>
              <w:t>£1</w:t>
            </w:r>
            <w:r w:rsidR="004F23F4" w:rsidRPr="000F7279">
              <w:rPr>
                <w:color w:val="000000" w:themeColor="text1"/>
                <w:sz w:val="20"/>
                <w:szCs w:val="20"/>
              </w:rPr>
              <w:t>0,000</w:t>
            </w:r>
          </w:p>
        </w:tc>
        <w:tc>
          <w:tcPr>
            <w:tcW w:w="1629" w:type="dxa"/>
            <w:tcBorders>
              <w:bottom w:val="single" w:sz="4" w:space="0" w:color="auto"/>
              <w:right w:val="single" w:sz="4" w:space="0" w:color="auto"/>
            </w:tcBorders>
            <w:vAlign w:val="center"/>
          </w:tcPr>
          <w:p w14:paraId="1709A9A2" w14:textId="77777777" w:rsidR="004F23F4" w:rsidRPr="000F7279" w:rsidRDefault="004F23F4" w:rsidP="007A17CE">
            <w:pPr>
              <w:jc w:val="center"/>
              <w:rPr>
                <w:color w:val="000000" w:themeColor="text1"/>
                <w:sz w:val="20"/>
                <w:szCs w:val="20"/>
              </w:rPr>
            </w:pPr>
            <w:r w:rsidRPr="000F7279">
              <w:rPr>
                <w:color w:val="000000" w:themeColor="text1"/>
                <w:sz w:val="20"/>
                <w:szCs w:val="20"/>
              </w:rPr>
              <w:t>£0</w:t>
            </w:r>
          </w:p>
        </w:tc>
      </w:tr>
      <w:tr w:rsidR="004F23F4" w:rsidRPr="00DD35DF" w14:paraId="29B5BD6C" w14:textId="77777777" w:rsidTr="007A17CE">
        <w:trPr>
          <w:trHeight w:val="295"/>
          <w:jc w:val="center"/>
        </w:trPr>
        <w:tc>
          <w:tcPr>
            <w:tcW w:w="4855" w:type="dxa"/>
            <w:tcBorders>
              <w:top w:val="single" w:sz="4" w:space="0" w:color="auto"/>
              <w:left w:val="single" w:sz="4" w:space="0" w:color="auto"/>
              <w:bottom w:val="single" w:sz="4" w:space="0" w:color="auto"/>
              <w:right w:val="single" w:sz="4" w:space="0" w:color="auto"/>
            </w:tcBorders>
            <w:vAlign w:val="center"/>
          </w:tcPr>
          <w:p w14:paraId="43B9EE4B" w14:textId="77777777" w:rsidR="004F23F4" w:rsidRPr="00F94F0E" w:rsidRDefault="004F23F4" w:rsidP="007A17CE">
            <w:pPr>
              <w:rPr>
                <w:b/>
                <w:sz w:val="20"/>
                <w:szCs w:val="20"/>
              </w:rPr>
            </w:pPr>
            <w:r w:rsidRPr="00F94F0E">
              <w:rPr>
                <w:b/>
                <w:sz w:val="20"/>
                <w:szCs w:val="20"/>
              </w:rPr>
              <w:t xml:space="preserve">Course </w:t>
            </w:r>
            <w:r>
              <w:rPr>
                <w:b/>
                <w:sz w:val="20"/>
                <w:szCs w:val="20"/>
              </w:rPr>
              <w:t>f</w:t>
            </w:r>
            <w:r w:rsidRPr="00F94F0E">
              <w:rPr>
                <w:b/>
                <w:sz w:val="20"/>
                <w:szCs w:val="20"/>
              </w:rPr>
              <w:t>ees</w:t>
            </w:r>
          </w:p>
        </w:tc>
        <w:tc>
          <w:tcPr>
            <w:tcW w:w="2758" w:type="dxa"/>
            <w:tcBorders>
              <w:top w:val="single" w:sz="4" w:space="0" w:color="auto"/>
              <w:left w:val="single" w:sz="4" w:space="0" w:color="auto"/>
              <w:bottom w:val="single" w:sz="4" w:space="0" w:color="auto"/>
              <w:right w:val="single" w:sz="4" w:space="0" w:color="auto"/>
            </w:tcBorders>
            <w:vAlign w:val="center"/>
          </w:tcPr>
          <w:p w14:paraId="4EF77C73" w14:textId="77777777" w:rsidR="004F23F4" w:rsidRPr="000F7279" w:rsidRDefault="004F23F4" w:rsidP="007A17CE">
            <w:pPr>
              <w:jc w:val="center"/>
              <w:rPr>
                <w:color w:val="000000" w:themeColor="text1"/>
                <w:sz w:val="20"/>
                <w:szCs w:val="20"/>
              </w:rPr>
            </w:pPr>
            <w:r w:rsidRPr="000F7279">
              <w:rPr>
                <w:color w:val="000000" w:themeColor="text1"/>
                <w:sz w:val="20"/>
                <w:szCs w:val="20"/>
              </w:rPr>
              <w:t>£8,000</w:t>
            </w:r>
          </w:p>
        </w:tc>
        <w:tc>
          <w:tcPr>
            <w:tcW w:w="1629" w:type="dxa"/>
            <w:tcBorders>
              <w:top w:val="single" w:sz="4" w:space="0" w:color="auto"/>
              <w:left w:val="single" w:sz="4" w:space="0" w:color="auto"/>
              <w:bottom w:val="single" w:sz="4" w:space="0" w:color="auto"/>
              <w:right w:val="single" w:sz="4" w:space="0" w:color="auto"/>
            </w:tcBorders>
            <w:vAlign w:val="center"/>
          </w:tcPr>
          <w:p w14:paraId="076E3361" w14:textId="77777777" w:rsidR="004F23F4" w:rsidRPr="000F7279" w:rsidRDefault="004F23F4" w:rsidP="007A17CE">
            <w:pPr>
              <w:jc w:val="center"/>
              <w:rPr>
                <w:color w:val="000000" w:themeColor="text1"/>
                <w:sz w:val="20"/>
                <w:szCs w:val="20"/>
              </w:rPr>
            </w:pPr>
            <w:r w:rsidRPr="000F7279">
              <w:rPr>
                <w:color w:val="000000" w:themeColor="text1"/>
                <w:sz w:val="20"/>
                <w:szCs w:val="20"/>
              </w:rPr>
              <w:t>£50</w:t>
            </w:r>
          </w:p>
        </w:tc>
      </w:tr>
    </w:tbl>
    <w:p w14:paraId="3C30A004" w14:textId="77777777" w:rsidR="00804282" w:rsidRDefault="004F23F4" w:rsidP="002251F9">
      <w:pPr>
        <w:autoSpaceDE w:val="0"/>
        <w:autoSpaceDN w:val="0"/>
        <w:adjustRightInd w:val="0"/>
        <w:rPr>
          <w:sz w:val="16"/>
          <w:szCs w:val="16"/>
          <w:lang w:eastAsia="en-GB"/>
        </w:rPr>
      </w:pPr>
      <w:r w:rsidRPr="00B3493F">
        <w:rPr>
          <w:noProof/>
          <w:sz w:val="16"/>
          <w:szCs w:val="16"/>
          <w:lang w:eastAsia="en-GB"/>
        </w:rPr>
        <mc:AlternateContent>
          <mc:Choice Requires="wps">
            <w:drawing>
              <wp:anchor distT="45720" distB="45720" distL="114300" distR="114300" simplePos="0" relativeHeight="251697152" behindDoc="0" locked="0" layoutInCell="1" allowOverlap="1" wp14:anchorId="54E060C4" wp14:editId="3EED2BB3">
                <wp:simplePos x="0" y="0"/>
                <wp:positionH relativeFrom="column">
                  <wp:posOffset>-198013</wp:posOffset>
                </wp:positionH>
                <wp:positionV relativeFrom="paragraph">
                  <wp:posOffset>135854</wp:posOffset>
                </wp:positionV>
                <wp:extent cx="697865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974725"/>
                        </a:xfrm>
                        <a:prstGeom prst="rect">
                          <a:avLst/>
                        </a:prstGeom>
                        <a:noFill/>
                        <a:ln w="9525">
                          <a:noFill/>
                          <a:miter lim="800000"/>
                          <a:headEnd/>
                          <a:tailEnd/>
                        </a:ln>
                      </wps:spPr>
                      <wps:txbx>
                        <w:txbxContent>
                          <w:p w14:paraId="158863FB" w14:textId="77777777" w:rsidR="00B3493F" w:rsidRDefault="00B3493F" w:rsidP="00B3493F">
                            <w:pPr>
                              <w:autoSpaceDE w:val="0"/>
                              <w:autoSpaceDN w:val="0"/>
                              <w:adjustRightInd w:val="0"/>
                              <w:rPr>
                                <w:sz w:val="16"/>
                                <w:szCs w:val="16"/>
                                <w:lang w:eastAsia="en-GB"/>
                              </w:rPr>
                            </w:pPr>
                          </w:p>
                          <w:p w14:paraId="2C704304" w14:textId="77777777" w:rsidR="00B3493F" w:rsidRDefault="00B3493F" w:rsidP="00B3493F">
                            <w:pPr>
                              <w:autoSpaceDE w:val="0"/>
                              <w:autoSpaceDN w:val="0"/>
                              <w:adjustRightInd w:val="0"/>
                              <w:rPr>
                                <w:sz w:val="16"/>
                                <w:szCs w:val="16"/>
                                <w:lang w:eastAsia="en-GB"/>
                              </w:rPr>
                            </w:pPr>
                          </w:p>
                          <w:p w14:paraId="69C7B815" w14:textId="77777777" w:rsidR="00B3493F" w:rsidRDefault="00B3493F" w:rsidP="00B3493F">
                            <w:pPr>
                              <w:autoSpaceDE w:val="0"/>
                              <w:autoSpaceDN w:val="0"/>
                              <w:adjustRightInd w:val="0"/>
                              <w:rPr>
                                <w:sz w:val="16"/>
                                <w:szCs w:val="16"/>
                                <w:lang w:eastAsia="en-GB"/>
                              </w:rPr>
                            </w:pPr>
                            <w:r w:rsidRPr="002251F9">
                              <w:rPr>
                                <w:sz w:val="16"/>
                                <w:szCs w:val="16"/>
                                <w:lang w:eastAsia="en-GB"/>
                              </w:rPr>
                              <w:t xml:space="preserve">Endsleigh Insurance Services Limited is authorised and regulated by the Financial Conduct Authority. This can be checked on the Financial Services Register by visiting its website at </w:t>
                            </w:r>
                            <w:r w:rsidRPr="002251F9">
                              <w:rPr>
                                <w:sz w:val="16"/>
                                <w:szCs w:val="16"/>
                              </w:rPr>
                              <w:t>https://register.fca.org.uk/</w:t>
                            </w:r>
                            <w:r w:rsidRPr="002251F9">
                              <w:rPr>
                                <w:sz w:val="16"/>
                                <w:szCs w:val="16"/>
                                <w:lang w:eastAsia="en-GB"/>
                              </w:rPr>
                              <w:t xml:space="preserve">.Endsleigh Insurance Services Limited. Company No. 856706 registered in England at </w:t>
                            </w:r>
                            <w:proofErr w:type="spellStart"/>
                            <w:r w:rsidRPr="002251F9">
                              <w:rPr>
                                <w:sz w:val="16"/>
                                <w:szCs w:val="16"/>
                                <w:lang w:eastAsia="en-GB"/>
                              </w:rPr>
                              <w:t>Shurdington</w:t>
                            </w:r>
                            <w:proofErr w:type="spellEnd"/>
                            <w:r w:rsidRPr="002251F9">
                              <w:rPr>
                                <w:sz w:val="16"/>
                                <w:szCs w:val="16"/>
                                <w:lang w:eastAsia="en-GB"/>
                              </w:rPr>
                              <w:t xml:space="preserve"> Road, Cheltenham Spa, Gloucestershire GL51 4UE.</w:t>
                            </w:r>
                          </w:p>
                          <w:p w14:paraId="2DEDF058" w14:textId="77777777" w:rsidR="00B3493F" w:rsidRDefault="00B34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10.7pt;width:549.5pt;height:76.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" filled="f" stroked="f">
                <v:textbox>
                  <w:txbxContent>
                    <w:p w:rsidR="00B3493F" w:rsidRDefault="00B3493F" w:rsidP="00B3493F">
                      <w:pPr>
                        <w:autoSpaceDE w:val="0"/>
                        <w:autoSpaceDN w:val="0"/>
                        <w:adjustRightInd w:val="0"/>
                        <w:rPr>
                          <w:sz w:val="16"/>
                          <w:szCs w:val="16"/>
                          <w:lang w:eastAsia="en-GB"/>
                        </w:rPr>
                      </w:pPr>
                    </w:p>
                    <w:p w:rsidR="00B3493F" w:rsidRDefault="00B3493F" w:rsidP="00B3493F">
                      <w:pPr>
                        <w:autoSpaceDE w:val="0"/>
                        <w:autoSpaceDN w:val="0"/>
                        <w:adjustRightInd w:val="0"/>
                        <w:rPr>
                          <w:sz w:val="16"/>
                          <w:szCs w:val="16"/>
                          <w:lang w:eastAsia="en-GB"/>
                        </w:rPr>
                      </w:pPr>
                    </w:p>
                    <w:p w:rsidR="00B3493F" w:rsidRDefault="00B3493F" w:rsidP="00B3493F">
                      <w:pPr>
                        <w:autoSpaceDE w:val="0"/>
                        <w:autoSpaceDN w:val="0"/>
                        <w:adjustRightInd w:val="0"/>
                        <w:rPr>
                          <w:sz w:val="16"/>
                          <w:szCs w:val="16"/>
                          <w:lang w:eastAsia="en-GB"/>
                        </w:rPr>
                      </w:pPr>
                      <w:r w:rsidRPr="002251F9">
                        <w:rPr>
                          <w:sz w:val="16"/>
                          <w:szCs w:val="16"/>
                          <w:lang w:eastAsia="en-GB"/>
                        </w:rPr>
                        <w:t xml:space="preserve">Endsleigh Insurance Services Limited is authorised and regulated by the Financial Conduct Authority. This can be checked on the Financial Services Register by visiting its website at </w:t>
                      </w:r>
                      <w:r w:rsidRPr="002251F9">
                        <w:rPr>
                          <w:sz w:val="16"/>
                          <w:szCs w:val="16"/>
                        </w:rPr>
                        <w:t>https://register.fca.org.uk/</w:t>
                      </w:r>
                      <w:r w:rsidRPr="002251F9">
                        <w:rPr>
                          <w:sz w:val="16"/>
                          <w:szCs w:val="16"/>
                          <w:lang w:eastAsia="en-GB"/>
                        </w:rPr>
                        <w:t>.Endsleigh Insurance Services Limited. Company No. 856706 registered in England at Shurdington Road, Cheltenham Spa, Gloucestershire GL51 4UE.</w:t>
                      </w:r>
                    </w:p>
                    <w:p w:rsidR="00B3493F" w:rsidRDefault="00B3493F"/>
                  </w:txbxContent>
                </v:textbox>
              </v:shape>
            </w:pict>
          </mc:Fallback>
        </mc:AlternateContent>
      </w:r>
    </w:p>
    <w:p w14:paraId="307793BE" w14:textId="77777777" w:rsidR="00804282" w:rsidRDefault="00804282" w:rsidP="002251F9">
      <w:pPr>
        <w:autoSpaceDE w:val="0"/>
        <w:autoSpaceDN w:val="0"/>
        <w:adjustRightInd w:val="0"/>
        <w:rPr>
          <w:sz w:val="16"/>
          <w:szCs w:val="16"/>
          <w:lang w:eastAsia="en-GB"/>
        </w:rPr>
      </w:pPr>
    </w:p>
    <w:p w14:paraId="766BB524" w14:textId="77777777" w:rsidR="00804282" w:rsidRDefault="00804282" w:rsidP="002251F9">
      <w:pPr>
        <w:autoSpaceDE w:val="0"/>
        <w:autoSpaceDN w:val="0"/>
        <w:adjustRightInd w:val="0"/>
        <w:rPr>
          <w:sz w:val="16"/>
          <w:szCs w:val="16"/>
          <w:lang w:eastAsia="en-GB"/>
        </w:rPr>
      </w:pPr>
    </w:p>
    <w:p w14:paraId="1D110D1B" w14:textId="77777777" w:rsidR="00804282" w:rsidRDefault="00804282" w:rsidP="002251F9">
      <w:pPr>
        <w:autoSpaceDE w:val="0"/>
        <w:autoSpaceDN w:val="0"/>
        <w:adjustRightInd w:val="0"/>
        <w:rPr>
          <w:sz w:val="16"/>
          <w:szCs w:val="16"/>
          <w:lang w:eastAsia="en-GB"/>
        </w:rPr>
      </w:pPr>
    </w:p>
    <w:sectPr w:rsidR="00804282" w:rsidSect="00A15E9D">
      <w:pgSz w:w="11906" w:h="16838"/>
      <w:pgMar w:top="567" w:right="144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82B5" w14:textId="77777777" w:rsidR="00E21169" w:rsidRDefault="00E21169" w:rsidP="006006A4">
      <w:r>
        <w:separator/>
      </w:r>
    </w:p>
  </w:endnote>
  <w:endnote w:type="continuationSeparator" w:id="0">
    <w:p w14:paraId="013BDEBB" w14:textId="77777777" w:rsidR="00E21169" w:rsidRDefault="00E21169" w:rsidP="0060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rebuchet MS"/>
    <w:panose1 w:val="020B0604020202020204"/>
    <w:charset w:val="00"/>
    <w:family w:val="swiss"/>
    <w:pitch w:val="variable"/>
    <w:sig w:usb0="00000001" w:usb1="00000000" w:usb2="00000000" w:usb3="00000000" w:csb0="0000001B" w:csb1="00000000"/>
  </w:font>
  <w:font w:name="Proxima Nova Regular">
    <w:altName w:val="Candara"/>
    <w:panose1 w:val="020B0604020202020204"/>
    <w:charset w:val="00"/>
    <w:family w:val="auto"/>
    <w:pitch w:val="variable"/>
    <w:sig w:usb0="00000001"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4A61" w14:textId="77777777" w:rsidR="00E21169" w:rsidRDefault="00E21169" w:rsidP="006006A4">
      <w:r>
        <w:separator/>
      </w:r>
    </w:p>
  </w:footnote>
  <w:footnote w:type="continuationSeparator" w:id="0">
    <w:p w14:paraId="3E9C0203" w14:textId="77777777" w:rsidR="00E21169" w:rsidRDefault="00E21169" w:rsidP="0060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3466"/>
    <w:multiLevelType w:val="hybridMultilevel"/>
    <w:tmpl w:val="DB66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1A06"/>
    <w:multiLevelType w:val="hybridMultilevel"/>
    <w:tmpl w:val="167850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6F09"/>
    <w:multiLevelType w:val="hybridMultilevel"/>
    <w:tmpl w:val="5DE0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31E59"/>
    <w:multiLevelType w:val="hybridMultilevel"/>
    <w:tmpl w:val="D096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C"/>
    <w:rsid w:val="00054DD6"/>
    <w:rsid w:val="00066B75"/>
    <w:rsid w:val="000B173B"/>
    <w:rsid w:val="000F7279"/>
    <w:rsid w:val="00165461"/>
    <w:rsid w:val="00165640"/>
    <w:rsid w:val="0019645C"/>
    <w:rsid w:val="002251F9"/>
    <w:rsid w:val="0025039F"/>
    <w:rsid w:val="00270CD1"/>
    <w:rsid w:val="002871D0"/>
    <w:rsid w:val="0030678E"/>
    <w:rsid w:val="0034260F"/>
    <w:rsid w:val="003441E1"/>
    <w:rsid w:val="00346A69"/>
    <w:rsid w:val="003A1ED2"/>
    <w:rsid w:val="00406927"/>
    <w:rsid w:val="00435E68"/>
    <w:rsid w:val="004C6583"/>
    <w:rsid w:val="004F23F4"/>
    <w:rsid w:val="0050385E"/>
    <w:rsid w:val="005127F8"/>
    <w:rsid w:val="00571177"/>
    <w:rsid w:val="0057368D"/>
    <w:rsid w:val="005E3096"/>
    <w:rsid w:val="005F16E2"/>
    <w:rsid w:val="006006A4"/>
    <w:rsid w:val="006135EA"/>
    <w:rsid w:val="0063266B"/>
    <w:rsid w:val="006C41AC"/>
    <w:rsid w:val="00804282"/>
    <w:rsid w:val="00817970"/>
    <w:rsid w:val="008C2ADD"/>
    <w:rsid w:val="00936B78"/>
    <w:rsid w:val="009E2F6F"/>
    <w:rsid w:val="00A15E9D"/>
    <w:rsid w:val="00A228AE"/>
    <w:rsid w:val="00A40EDE"/>
    <w:rsid w:val="00AE145E"/>
    <w:rsid w:val="00B3493F"/>
    <w:rsid w:val="00B43B09"/>
    <w:rsid w:val="00BA3359"/>
    <w:rsid w:val="00BE5772"/>
    <w:rsid w:val="00BF15A7"/>
    <w:rsid w:val="00C02AD4"/>
    <w:rsid w:val="00C27F2C"/>
    <w:rsid w:val="00C35508"/>
    <w:rsid w:val="00CA0AD5"/>
    <w:rsid w:val="00CB7EF2"/>
    <w:rsid w:val="00D431C0"/>
    <w:rsid w:val="00DD35DF"/>
    <w:rsid w:val="00E21169"/>
    <w:rsid w:val="00E3362B"/>
    <w:rsid w:val="00E63BCA"/>
    <w:rsid w:val="00EB17B3"/>
    <w:rsid w:val="00F125EC"/>
    <w:rsid w:val="00F65A30"/>
    <w:rsid w:val="00F77FC2"/>
    <w:rsid w:val="00F94F0E"/>
    <w:rsid w:val="00FE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CE2C"/>
  <w15:docId w15:val="{2AFF0A21-ED62-490F-891D-D377614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EC"/>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0B1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EC"/>
    <w:pPr>
      <w:ind w:left="720"/>
    </w:pPr>
    <w:rPr>
      <w:rFonts w:ascii="Times New Roman" w:hAnsi="Times New Roman" w:cs="Times New Roman"/>
      <w:sz w:val="24"/>
      <w:szCs w:val="24"/>
      <w:lang w:eastAsia="en-GB"/>
    </w:rPr>
  </w:style>
  <w:style w:type="paragraph" w:styleId="NoSpacing">
    <w:name w:val="No Spacing"/>
    <w:uiPriority w:val="1"/>
    <w:qFormat/>
    <w:rsid w:val="00F125EC"/>
    <w:pPr>
      <w:spacing w:after="0" w:line="240" w:lineRule="auto"/>
    </w:pPr>
    <w:rPr>
      <w:rFonts w:ascii="Arial" w:eastAsia="Calibri" w:hAnsi="Arial" w:cs="Arial"/>
      <w:lang w:val="en-US"/>
    </w:rPr>
  </w:style>
  <w:style w:type="paragraph" w:styleId="BalloonText">
    <w:name w:val="Balloon Text"/>
    <w:basedOn w:val="Normal"/>
    <w:link w:val="BalloonTextChar"/>
    <w:uiPriority w:val="99"/>
    <w:semiHidden/>
    <w:unhideWhenUsed/>
    <w:rsid w:val="00F125EC"/>
    <w:rPr>
      <w:rFonts w:ascii="Tahoma" w:hAnsi="Tahoma" w:cs="Tahoma"/>
      <w:sz w:val="16"/>
      <w:szCs w:val="16"/>
    </w:rPr>
  </w:style>
  <w:style w:type="character" w:customStyle="1" w:styleId="BalloonTextChar">
    <w:name w:val="Balloon Text Char"/>
    <w:basedOn w:val="DefaultParagraphFont"/>
    <w:link w:val="BalloonText"/>
    <w:uiPriority w:val="99"/>
    <w:semiHidden/>
    <w:rsid w:val="00F125EC"/>
    <w:rPr>
      <w:rFonts w:ascii="Tahoma" w:eastAsia="Calibri" w:hAnsi="Tahoma" w:cs="Tahoma"/>
      <w:sz w:val="16"/>
      <w:szCs w:val="16"/>
    </w:rPr>
  </w:style>
  <w:style w:type="paragraph" w:customStyle="1" w:styleId="BodyText1">
    <w:name w:val="Body Text 1"/>
    <w:basedOn w:val="BodyText"/>
    <w:rsid w:val="00BF15A7"/>
    <w:pPr>
      <w:overflowPunct w:val="0"/>
      <w:autoSpaceDE w:val="0"/>
      <w:autoSpaceDN w:val="0"/>
      <w:adjustRightInd w:val="0"/>
      <w:spacing w:before="120"/>
      <w:jc w:val="both"/>
      <w:textAlignment w:val="baseline"/>
    </w:pPr>
    <w:rPr>
      <w:rFonts w:ascii="Calibri" w:eastAsia="Times New Roman" w:hAnsi="Calibri" w:cs="Times New Roman"/>
      <w:szCs w:val="20"/>
      <w:lang w:eastAsia="en-GB"/>
    </w:rPr>
  </w:style>
  <w:style w:type="paragraph" w:styleId="BodyText">
    <w:name w:val="Body Text"/>
    <w:basedOn w:val="Normal"/>
    <w:link w:val="BodyTextChar"/>
    <w:uiPriority w:val="99"/>
    <w:semiHidden/>
    <w:unhideWhenUsed/>
    <w:rsid w:val="00BF15A7"/>
    <w:pPr>
      <w:spacing w:after="120"/>
    </w:pPr>
  </w:style>
  <w:style w:type="character" w:customStyle="1" w:styleId="BodyTextChar">
    <w:name w:val="Body Text Char"/>
    <w:basedOn w:val="DefaultParagraphFont"/>
    <w:link w:val="BodyText"/>
    <w:uiPriority w:val="99"/>
    <w:semiHidden/>
    <w:rsid w:val="00BF15A7"/>
    <w:rPr>
      <w:rFonts w:ascii="Arial" w:eastAsia="Calibri" w:hAnsi="Arial" w:cs="Arial"/>
    </w:rPr>
  </w:style>
  <w:style w:type="character" w:styleId="Hyperlink">
    <w:name w:val="Hyperlink"/>
    <w:basedOn w:val="DefaultParagraphFont"/>
    <w:uiPriority w:val="99"/>
    <w:unhideWhenUsed/>
    <w:rsid w:val="009E2F6F"/>
    <w:rPr>
      <w:rFonts w:cs="Times New Roman"/>
      <w:color w:val="0000FF"/>
      <w:u w:val="single"/>
    </w:rPr>
  </w:style>
  <w:style w:type="character" w:styleId="CommentReference">
    <w:name w:val="annotation reference"/>
    <w:basedOn w:val="DefaultParagraphFont"/>
    <w:uiPriority w:val="99"/>
    <w:semiHidden/>
    <w:unhideWhenUsed/>
    <w:rsid w:val="00571177"/>
    <w:rPr>
      <w:sz w:val="16"/>
      <w:szCs w:val="16"/>
    </w:rPr>
  </w:style>
  <w:style w:type="paragraph" w:styleId="CommentText">
    <w:name w:val="annotation text"/>
    <w:basedOn w:val="Normal"/>
    <w:link w:val="CommentTextChar"/>
    <w:uiPriority w:val="99"/>
    <w:semiHidden/>
    <w:unhideWhenUsed/>
    <w:rsid w:val="00571177"/>
    <w:rPr>
      <w:sz w:val="20"/>
      <w:szCs w:val="20"/>
    </w:rPr>
  </w:style>
  <w:style w:type="character" w:customStyle="1" w:styleId="CommentTextChar">
    <w:name w:val="Comment Text Char"/>
    <w:basedOn w:val="DefaultParagraphFont"/>
    <w:link w:val="CommentText"/>
    <w:uiPriority w:val="99"/>
    <w:semiHidden/>
    <w:rsid w:val="00571177"/>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571177"/>
    <w:rPr>
      <w:b/>
      <w:bCs/>
    </w:rPr>
  </w:style>
  <w:style w:type="character" w:customStyle="1" w:styleId="CommentSubjectChar">
    <w:name w:val="Comment Subject Char"/>
    <w:basedOn w:val="CommentTextChar"/>
    <w:link w:val="CommentSubject"/>
    <w:uiPriority w:val="99"/>
    <w:semiHidden/>
    <w:rsid w:val="00571177"/>
    <w:rPr>
      <w:rFonts w:ascii="Arial" w:eastAsia="Calibri" w:hAnsi="Arial" w:cs="Arial"/>
      <w:b/>
      <w:bCs/>
      <w:sz w:val="20"/>
      <w:szCs w:val="20"/>
    </w:rPr>
  </w:style>
  <w:style w:type="paragraph" w:styleId="Header">
    <w:name w:val="header"/>
    <w:basedOn w:val="Normal"/>
    <w:link w:val="HeaderChar"/>
    <w:uiPriority w:val="99"/>
    <w:unhideWhenUsed/>
    <w:rsid w:val="006006A4"/>
    <w:pPr>
      <w:tabs>
        <w:tab w:val="center" w:pos="4513"/>
        <w:tab w:val="right" w:pos="9026"/>
      </w:tabs>
    </w:pPr>
  </w:style>
  <w:style w:type="character" w:customStyle="1" w:styleId="HeaderChar">
    <w:name w:val="Header Char"/>
    <w:basedOn w:val="DefaultParagraphFont"/>
    <w:link w:val="Header"/>
    <w:uiPriority w:val="99"/>
    <w:rsid w:val="006006A4"/>
    <w:rPr>
      <w:rFonts w:ascii="Arial" w:eastAsia="Calibri" w:hAnsi="Arial" w:cs="Arial"/>
    </w:rPr>
  </w:style>
  <w:style w:type="paragraph" w:styleId="Footer">
    <w:name w:val="footer"/>
    <w:basedOn w:val="Normal"/>
    <w:link w:val="FooterChar"/>
    <w:uiPriority w:val="99"/>
    <w:unhideWhenUsed/>
    <w:rsid w:val="006006A4"/>
    <w:pPr>
      <w:tabs>
        <w:tab w:val="center" w:pos="4513"/>
        <w:tab w:val="right" w:pos="9026"/>
      </w:tabs>
    </w:pPr>
  </w:style>
  <w:style w:type="character" w:customStyle="1" w:styleId="FooterChar">
    <w:name w:val="Footer Char"/>
    <w:basedOn w:val="DefaultParagraphFont"/>
    <w:link w:val="Footer"/>
    <w:uiPriority w:val="99"/>
    <w:rsid w:val="006006A4"/>
    <w:rPr>
      <w:rFonts w:ascii="Arial" w:eastAsia="Calibri" w:hAnsi="Arial" w:cs="Arial"/>
    </w:rPr>
  </w:style>
  <w:style w:type="paragraph" w:customStyle="1" w:styleId="Default">
    <w:name w:val="Default"/>
    <w:basedOn w:val="Normal"/>
    <w:rsid w:val="00817970"/>
    <w:pPr>
      <w:autoSpaceDE w:val="0"/>
      <w:autoSpaceDN w:val="0"/>
    </w:pPr>
    <w:rPr>
      <w:rFonts w:ascii="Zurich BT" w:eastAsiaTheme="minorHAnsi" w:hAnsi="Zurich BT" w:cs="Times New Roman"/>
      <w:color w:val="000000"/>
      <w:sz w:val="24"/>
      <w:szCs w:val="24"/>
      <w:lang w:eastAsia="en-GB"/>
    </w:rPr>
  </w:style>
  <w:style w:type="character" w:customStyle="1" w:styleId="Heading1Char">
    <w:name w:val="Heading 1 Char"/>
    <w:basedOn w:val="DefaultParagraphFont"/>
    <w:link w:val="Heading1"/>
    <w:uiPriority w:val="9"/>
    <w:rsid w:val="000B17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B173B"/>
    <w:pPr>
      <w:spacing w:line="276" w:lineRule="auto"/>
      <w:outlineLvl w:val="9"/>
    </w:pPr>
    <w:rPr>
      <w:lang w:val="en-US" w:eastAsia="ja-JP"/>
    </w:rPr>
  </w:style>
  <w:style w:type="paragraph" w:styleId="TOC1">
    <w:name w:val="toc 1"/>
    <w:basedOn w:val="Normal"/>
    <w:next w:val="Normal"/>
    <w:autoRedefine/>
    <w:uiPriority w:val="39"/>
    <w:unhideWhenUsed/>
    <w:rsid w:val="000B17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1895-890E-470D-81CE-4EDCA852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1911</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
    </vt:vector>
  </TitlesOfParts>
  <Company>Endsleigh Insurance Services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Timmins</dc:creator>
  <cp:lastModifiedBy>Suzanne Littlejohn</cp:lastModifiedBy>
  <cp:revision>3</cp:revision>
  <dcterms:created xsi:type="dcterms:W3CDTF">2020-12-15T12:23:00Z</dcterms:created>
  <dcterms:modified xsi:type="dcterms:W3CDTF">2020-12-15T12:32:00Z</dcterms:modified>
</cp:coreProperties>
</file>